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0773"/>
        <w:rPr>
          <w:b/>
          <w:bCs/>
        </w:rPr>
      </w:pPr>
      <w:r/>
      <w:bookmarkStart w:id="0" w:name="_GoBack"/>
      <w:r/>
      <w:bookmarkEnd w:id="0"/>
      <w:r>
        <w:rPr>
          <w:b/>
          <w:bCs/>
        </w:rPr>
        <w:t xml:space="preserve">Утверждаю</w:t>
      </w:r>
      <w:r>
        <w:rPr>
          <w:b/>
          <w:bCs/>
        </w:rPr>
      </w:r>
      <w:r>
        <w:rPr>
          <w:b/>
          <w:bCs/>
        </w:rPr>
      </w:r>
    </w:p>
    <w:p>
      <w:pPr>
        <w:ind w:left="10773"/>
      </w:pPr>
      <w:r>
        <w:t xml:space="preserve">Главный инженер</w:t>
      </w:r>
      <w:r/>
    </w:p>
    <w:p>
      <w:pPr>
        <w:ind w:left="10773"/>
      </w:pPr>
      <w:r>
        <w:t xml:space="preserve">Затонской</w:t>
      </w:r>
      <w:r>
        <w:t xml:space="preserve"> ТЭЦ филиала ООО "БГК"</w:t>
      </w:r>
      <w:r/>
    </w:p>
    <w:p>
      <w:pPr>
        <w:ind w:left="10773"/>
      </w:pPr>
      <w:r>
        <w:t xml:space="preserve">_________________ С.А. </w:t>
      </w:r>
      <w:r>
        <w:t xml:space="preserve">Стяжкин</w:t>
      </w:r>
      <w:r/>
    </w:p>
    <w:p>
      <w:pPr>
        <w:ind w:left="10773"/>
      </w:pPr>
      <w:r>
        <w:t xml:space="preserve">«_____» __________________2026 г.</w:t>
      </w:r>
      <w:r/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Ведомость объёмов </w:t>
      </w:r>
      <w:r>
        <w:rPr>
          <w:b/>
        </w:rPr>
        <w:t xml:space="preserve">оказываемых </w:t>
      </w:r>
      <w:r>
        <w:rPr>
          <w:b/>
        </w:rPr>
        <w:t xml:space="preserve">услуг</w:t>
      </w:r>
      <w:r>
        <w:rPr>
          <w:b/>
        </w:rPr>
      </w:r>
      <w:r>
        <w:rPr>
          <w:b/>
        </w:rPr>
      </w:r>
    </w:p>
    <w:p>
      <w:pPr>
        <w:jc w:val="center"/>
        <w:spacing w:line="276" w:lineRule="auto"/>
      </w:pPr>
      <w:r>
        <w:t xml:space="preserve">по выполнению расчетов и </w:t>
      </w:r>
      <w:r>
        <w:t xml:space="preserve">проверк</w:t>
      </w:r>
      <w:r>
        <w:t xml:space="preserve">е </w:t>
      </w:r>
      <w:r>
        <w:t xml:space="preserve">на термическую и динамическую устойчивость к токам </w:t>
      </w:r>
      <w:r>
        <w:t xml:space="preserve">к.з</w:t>
      </w:r>
      <w:r>
        <w:t xml:space="preserve">. силовых трансформаторов </w:t>
      </w:r>
      <w:r/>
    </w:p>
    <w:p>
      <w:pPr>
        <w:jc w:val="center"/>
        <w:spacing w:line="276" w:lineRule="auto"/>
      </w:pPr>
      <w:r>
        <w:t xml:space="preserve">Затонской</w:t>
      </w:r>
      <w:r>
        <w:t xml:space="preserve"> ТЭЦ филиала ООО «БГК» </w:t>
      </w:r>
      <w:r>
        <w:t xml:space="preserve">на 2026 год</w:t>
      </w:r>
      <w:r/>
    </w:p>
    <w:p>
      <w:pPr>
        <w:tabs>
          <w:tab w:val="left" w:pos="10271" w:leader="none"/>
          <w:tab w:val="left" w:pos="11113" w:leader="none"/>
        </w:tabs>
      </w:pPr>
      <w:r/>
      <w:r/>
    </w:p>
    <w:tbl>
      <w:tblPr>
        <w:tblStyle w:val="867"/>
        <w:tblW w:w="14281" w:type="dxa"/>
        <w:tblInd w:w="2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2"/>
        <w:gridCol w:w="2365"/>
        <w:gridCol w:w="4782"/>
        <w:gridCol w:w="5133"/>
        <w:gridCol w:w="1399"/>
      </w:tblGrid>
      <w:tr>
        <w:tblPrEx/>
        <w:trPr>
          <w:cantSplit/>
          <w:tblHeader/>
        </w:trPr>
        <w:tc>
          <w:tcPr>
            <w:tcW w:w="605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0271" w:leader="none"/>
                <w:tab w:val="left" w:pos="11113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37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0271" w:leader="none"/>
                <w:tab w:val="left" w:pos="11113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Диспетчерское на</w:t>
            </w:r>
            <w:r>
              <w:rPr>
                <w:b/>
                <w:sz w:val="20"/>
                <w:szCs w:val="20"/>
              </w:rPr>
              <w:t xml:space="preserve">именование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81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0271" w:leader="none"/>
                <w:tab w:val="left" w:pos="11113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Тип оборудования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16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0271" w:leader="none"/>
                <w:tab w:val="left" w:pos="11113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Наименование </w:t>
            </w:r>
            <w:r>
              <w:rPr>
                <w:b/>
                <w:color w:val="000000"/>
                <w:sz w:val="20"/>
                <w:szCs w:val="20"/>
              </w:rPr>
              <w:t xml:space="preserve">работ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316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0271" w:leader="none"/>
                <w:tab w:val="left" w:pos="11113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Количество, </w:t>
            </w:r>
            <w:r>
              <w:rPr>
                <w:b/>
                <w:sz w:val="20"/>
                <w:szCs w:val="20"/>
              </w:rPr>
              <w:t xml:space="preserve">шт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Т-1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Трансформатор ТДЦ-200000/220 УХЛ1</w:t>
            </w:r>
            <w:r/>
          </w:p>
        </w:tc>
        <w:tc>
          <w:tcPr>
            <w:tcW w:w="5169" w:type="dxa"/>
            <w:vMerge w:val="restart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t xml:space="preserve">Выполнение расчетов и </w:t>
            </w:r>
            <w:r>
              <w:t xml:space="preserve">проверк</w:t>
            </w:r>
            <w:r>
              <w:t xml:space="preserve">а</w:t>
            </w:r>
            <w:r>
              <w:t xml:space="preserve"> </w:t>
            </w:r>
            <w:r>
              <w:t xml:space="preserve">на термическую и динамическую устойчивость к токам </w:t>
            </w:r>
            <w:r>
              <w:t xml:space="preserve">к.з</w:t>
            </w:r>
            <w:r>
              <w:t xml:space="preserve">. силовых трансформаторов при нормальной схеме коммутации сети и существующих уставках по времени в схемах релейной защиты.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r>
              <w:t xml:space="preserve">Анализ соответствия максимальных уставок по времени релейной защиты допустимой длительности </w:t>
            </w:r>
            <w:r>
              <w:t xml:space="preserve">к.з</w:t>
            </w:r>
            <w:r>
              <w:t xml:space="preserve">. для трансформаторов по термической </w:t>
            </w:r>
            <w:r>
              <w:t xml:space="preserve">устойчивости:</w:t>
            </w:r>
            <w:r/>
          </w:p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-подбор </w:t>
            </w:r>
            <w:r>
              <w:rPr>
                <w:sz w:val="20"/>
                <w:szCs w:val="20"/>
                <w:highlight w:val="none"/>
              </w:rPr>
              <w:t xml:space="preserve">документов всех категорий сложности различного вида и их комплектование. Выбор необходимых сведений. Выбор необходимого графического материала из </w:t>
            </w:r>
            <w:r>
              <w:rPr>
                <w:sz w:val="20"/>
                <w:szCs w:val="20"/>
                <w:highlight w:val="none"/>
              </w:rPr>
              <w:t xml:space="preserve">графической части технической документации различного вида - 100 листов А4;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-п</w:t>
            </w:r>
            <w:r>
              <w:rPr>
                <w:sz w:val="20"/>
                <w:szCs w:val="20"/>
                <w:highlight w:val="none"/>
              </w:rPr>
              <w:t xml:space="preserve">одбор, систематизация и анализ нормативно-технических, справочно-информационных и других документов - 28 ед.об. </w:t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    </w:t>
            </w:r>
            <w:r>
              <w:rPr>
                <w:highlight w:val="none"/>
              </w:rPr>
            </w:r>
            <w:r/>
          </w:p>
          <w:p>
            <w:pPr>
              <w:rPr>
                <w:highlight w:val="none"/>
              </w:rPr>
            </w:pPr>
            <w:r>
              <w:t xml:space="preserve">Разработка (при необходимости) мероприятий, направленных на обеспечение соответствия уставок по времени в схемах релейной защиты условиям термической и динамической устойчивости к токам </w:t>
            </w:r>
            <w:r>
              <w:t xml:space="preserve">к.з</w:t>
            </w:r>
            <w:r>
              <w:t xml:space="preserve">. силовых трансформаторов при нормальной схеме коммут</w:t>
            </w:r>
            <w:r>
              <w:t xml:space="preserve">ации сети.</w:t>
            </w:r>
            <w:r>
              <w:rPr>
                <w:highlight w:val="none"/>
              </w:rPr>
            </w:r>
          </w:p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-</w:t>
            </w:r>
            <w:r>
              <w:rPr>
                <w:sz w:val="20"/>
                <w:szCs w:val="20"/>
                <w:highlight w:val="none"/>
              </w:rPr>
              <w:t xml:space="preserve">Обработка материалов обследования функционального узла оборудования, аппаратуры или конструкций, необходимых для разработки документов, анализ и обобщение результатов, составление выводов, все категории сложности - 28 ед.об.;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t xml:space="preserve">Предоставление отчета. Составление рекомендаций.</w:t>
            </w:r>
            <w:r>
              <w:rPr>
                <w:sz w:val="20"/>
                <w:szCs w:val="20"/>
              </w:rPr>
            </w:r>
            <w:r>
              <w:rPr>
                <w:highlight w:val="none"/>
              </w:rPr>
            </w:r>
          </w:p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-</w:t>
            </w:r>
            <w:r>
              <w:rPr>
                <w:sz w:val="20"/>
                <w:szCs w:val="20"/>
                <w:highlight w:val="none"/>
              </w:rPr>
              <w:t xml:space="preserve">Обработка материалов по измерениям и испытаниям и анализ полученных результатов 3 группа оборудования -28 ед.об.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Т-2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Трансформатор ТДЦ-125000/220 УХЛ1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Т-3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Трансформатор ТДЦ-125000/220 УХЛ1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Т-4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Трансформатор ТДЦ-200000/220 УХЛ1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 ТПУ-1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ТСЗП 5000-10.5 УХЛ4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 ТПУ-2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ТСЗП 5000-10.5 УХЛ4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ТСН-3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ТСЗС 1600-10.5 УХЛ4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ТСН-4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ТСЗС 1600-10.5 УХЛ4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ТСН-1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ТСЗС 1250-10.5 УХЛ4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ТСН-2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ТСЗС 1250-10.5 УХЛ4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ТСН-5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ТСЗС 1250-10.5 УХЛ4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ТСН-6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ТСЗС 1250-10.5 УХЛ4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ТСН-11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ТСЗС 1000-10 УХЛ4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ТСН-12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ТСЗС 1000-10 УХЛ4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ТСН-13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ТСЗ 630-10 УХЛ4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ТСН-14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ТСЗ 630-10 УХЛ4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ТСН-9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ТСЗС 400-10 УХЛ4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ТСН-10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ТСЗС 400-10 УХЛ4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ТВ-1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ТСЗП-1250/15В-УЗ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ТВ-2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ТСЗП – 800/10В-У-3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ТВ-3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ТСЗП – 800/10В-У-3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ТВ-4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ТСЗП-1250/15В-УЗ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РСВ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ТСЗП – 1000/10В-У3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ТСН-7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TC(TTR-A) 1250/10/0.4 У3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ТСН-8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TC(TTR-A) 1250/10/0.4 У3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 КТП-1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ТСЛ-25/10-У3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cantSplit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</w:pPr>
            <w:r/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</w:pPr>
            <w:r>
              <w:t xml:space="preserve">Т КТП-2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r>
              <w:t xml:space="preserve">ТСЛ-25/10-У3</w:t>
            </w:r>
            <w:r/>
          </w:p>
        </w:tc>
        <w:tc>
          <w:tcPr>
            <w:tcW w:w="51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blPrEx/>
        <w:trPr>
          <w:trHeight w:val="442"/>
        </w:trPr>
        <w:tc>
          <w:tcPr>
            <w:tcW w:w="605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1"/>
              </w:numPr>
              <w:jc w:val="center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Т-3, встроенные трансформаторы тока на вводах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-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16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highlight w:val="white"/>
              </w:rPr>
              <w:t xml:space="preserve">В</w:t>
            </w:r>
            <w:r>
              <w:rPr>
                <w:highlight w:val="white"/>
              </w:rPr>
              <w:t xml:space="preserve">ыбор технических характеристик трансформаторов тока и подключенных к ним устройств релейной защиты требованиям к обеспечению правильной работы релейной защиты при коротких замыканиях, сопровождающихся насыщением трансформатора тока </w:t>
            </w:r>
            <w:r>
              <w:rPr>
                <w:highlight w:val="white"/>
              </w:rPr>
              <w:t xml:space="preserve">выполнить в соответствии</w:t>
            </w:r>
            <w:r>
              <w:rPr>
                <w:highlight w:val="white"/>
              </w:rPr>
              <w:t xml:space="preserve"> с требованиями </w:t>
            </w:r>
            <w:r>
              <w:rPr>
                <w:color w:val="000000"/>
                <w:highlight w:val="white"/>
              </w:rPr>
              <w:t xml:space="preserve">ГОСТ Р 71403 – 2024 «Единая энергетическая система и изолированно работающие энергосистемы. Релейная защита и автоматика. Методические указания по определению параметров электромагнитных трансформаторов тока для обеспечения правильного функ</w:t>
            </w:r>
            <w:r>
              <w:rPr>
                <w:color w:val="000000"/>
                <w:highlight w:val="white"/>
              </w:rPr>
              <w:t xml:space="preserve">ционирования релейной защиты в переходных режимах»:</w:t>
            </w:r>
            <w:r>
              <w:rPr>
                <w:highlight w:val="whit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highlight w:val="none"/>
              </w:rPr>
              <w:t xml:space="preserve">-сборка схемы, производство измерений и испытаний 1 категория сложности (</w:t>
            </w:r>
            <w:r>
              <w:rPr>
                <w:color w:val="000000"/>
                <w:sz w:val="20"/>
                <w:szCs w:val="20"/>
                <w:highlight w:val="none"/>
              </w:rPr>
              <w:t xml:space="preserve">1 ввод) вида -3 ввода</w:t>
            </w:r>
            <w:r>
              <w:rPr>
                <w:color w:val="000000"/>
                <w:sz w:val="20"/>
                <w:szCs w:val="20"/>
                <w:highlight w:val="none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ВН 3 штуки на фазу, нейтральный ввод 3 штуки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r/>
      <w:r/>
    </w:p>
    <w:p>
      <w:pPr>
        <w:ind w:left="2410"/>
        <w:tabs>
          <w:tab w:val="left" w:pos="10773" w:leader="none"/>
        </w:tabs>
      </w:pPr>
      <w:r>
        <w:t xml:space="preserve">Начальник ЭЦ </w:t>
      </w:r>
      <w:r>
        <w:tab/>
        <w:t xml:space="preserve">Д.М. </w:t>
      </w:r>
      <w:r>
        <w:t xml:space="preserve">Садрыев</w:t>
      </w:r>
      <w:r/>
    </w:p>
    <w:p>
      <w:pPr>
        <w:ind w:left="2410"/>
        <w:tabs>
          <w:tab w:val="left" w:pos="10773" w:leader="none"/>
        </w:tabs>
      </w:pPr>
      <w:r/>
      <w:r/>
    </w:p>
    <w:p>
      <w:pPr>
        <w:ind w:left="2410"/>
        <w:tabs>
          <w:tab w:val="left" w:pos="10773" w:leader="none"/>
        </w:tabs>
      </w:pPr>
      <w:r/>
      <w:r/>
    </w:p>
    <w:p>
      <w:pPr>
        <w:ind w:left="2410"/>
        <w:tabs>
          <w:tab w:val="left" w:pos="10773" w:leader="none"/>
        </w:tabs>
      </w:pPr>
      <w:r>
        <w:t xml:space="preserve">Начальник ОППР</w:t>
      </w:r>
      <w:r>
        <w:tab/>
        <w:t xml:space="preserve">Р.Р. Шевченко</w:t>
      </w:r>
      <w:r/>
    </w:p>
    <w:sectPr>
      <w:footnotePr/>
      <w:endnotePr/>
      <w:type w:val="nextPage"/>
      <w:pgSz w:w="16838" w:h="11906" w:orient="landscape"/>
      <w:pgMar w:top="993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7">
    <w:name w:val="Heading 1 Char"/>
    <w:basedOn w:val="695"/>
    <w:link w:val="686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68">
    <w:name w:val="Heading 2 Char"/>
    <w:basedOn w:val="695"/>
    <w:link w:val="687"/>
    <w:uiPriority w:val="9"/>
    <w:rPr>
      <w:rFonts w:ascii="Liberation Sans" w:hAnsi="Liberation Sans" w:eastAsia="Liberation Sans" w:cs="Liberation Sans"/>
      <w:sz w:val="34"/>
    </w:rPr>
  </w:style>
  <w:style w:type="character" w:styleId="669">
    <w:name w:val="Heading 3 Char"/>
    <w:basedOn w:val="695"/>
    <w:link w:val="688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670">
    <w:name w:val="Heading 4 Char"/>
    <w:basedOn w:val="695"/>
    <w:link w:val="68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71">
    <w:name w:val="Heading 5 Char"/>
    <w:basedOn w:val="695"/>
    <w:link w:val="690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72">
    <w:name w:val="Heading 6 Char"/>
    <w:basedOn w:val="695"/>
    <w:link w:val="691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73">
    <w:name w:val="Heading 7 Char"/>
    <w:basedOn w:val="695"/>
    <w:link w:val="692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74">
    <w:name w:val="Heading 8 Char"/>
    <w:basedOn w:val="695"/>
    <w:link w:val="69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5">
    <w:name w:val="Heading 9 Char"/>
    <w:basedOn w:val="695"/>
    <w:link w:val="69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6">
    <w:name w:val="Title Char"/>
    <w:basedOn w:val="695"/>
    <w:link w:val="708"/>
    <w:uiPriority w:val="10"/>
    <w:rPr>
      <w:sz w:val="48"/>
      <w:szCs w:val="48"/>
    </w:rPr>
  </w:style>
  <w:style w:type="character" w:styleId="677">
    <w:name w:val="Subtitle Char"/>
    <w:basedOn w:val="695"/>
    <w:link w:val="710"/>
    <w:uiPriority w:val="11"/>
    <w:rPr>
      <w:sz w:val="24"/>
      <w:szCs w:val="24"/>
    </w:rPr>
  </w:style>
  <w:style w:type="character" w:styleId="678">
    <w:name w:val="Quote Char"/>
    <w:link w:val="712"/>
    <w:uiPriority w:val="29"/>
    <w:rPr>
      <w:i/>
    </w:rPr>
  </w:style>
  <w:style w:type="character" w:styleId="679">
    <w:name w:val="Intense Quote Char"/>
    <w:link w:val="714"/>
    <w:uiPriority w:val="30"/>
    <w:rPr>
      <w:i/>
    </w:rPr>
  </w:style>
  <w:style w:type="character" w:styleId="680">
    <w:name w:val="Header Char"/>
    <w:basedOn w:val="695"/>
    <w:link w:val="716"/>
    <w:uiPriority w:val="99"/>
  </w:style>
  <w:style w:type="character" w:styleId="681">
    <w:name w:val="Footer Char"/>
    <w:basedOn w:val="695"/>
    <w:link w:val="718"/>
    <w:uiPriority w:val="99"/>
  </w:style>
  <w:style w:type="character" w:styleId="682">
    <w:name w:val="Caption Char"/>
    <w:basedOn w:val="695"/>
    <w:link w:val="720"/>
    <w:uiPriority w:val="35"/>
    <w:rPr>
      <w:b/>
      <w:bCs/>
      <w:color w:val="4f81bd" w:themeColor="accent1"/>
      <w:sz w:val="18"/>
      <w:szCs w:val="18"/>
    </w:rPr>
  </w:style>
  <w:style w:type="character" w:styleId="683">
    <w:name w:val="Footnote Text Char"/>
    <w:link w:val="848"/>
    <w:uiPriority w:val="99"/>
    <w:rPr>
      <w:sz w:val="18"/>
    </w:rPr>
  </w:style>
  <w:style w:type="character" w:styleId="684">
    <w:name w:val="Endnote Text Char"/>
    <w:link w:val="851"/>
    <w:uiPriority w:val="99"/>
    <w:rPr>
      <w:sz w:val="20"/>
    </w:rPr>
  </w:style>
  <w:style w:type="paragraph" w:styleId="685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6">
    <w:name w:val="Heading 1"/>
    <w:basedOn w:val="685"/>
    <w:next w:val="685"/>
    <w:link w:val="698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687">
    <w:name w:val="Heading 2"/>
    <w:basedOn w:val="685"/>
    <w:next w:val="685"/>
    <w:link w:val="699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688">
    <w:name w:val="Heading 3"/>
    <w:basedOn w:val="685"/>
    <w:next w:val="685"/>
    <w:link w:val="70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689">
    <w:name w:val="Heading 4"/>
    <w:basedOn w:val="685"/>
    <w:next w:val="685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90">
    <w:name w:val="Heading 5"/>
    <w:basedOn w:val="685"/>
    <w:next w:val="685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</w:rPr>
  </w:style>
  <w:style w:type="paragraph" w:styleId="691">
    <w:name w:val="Heading 6"/>
    <w:basedOn w:val="685"/>
    <w:next w:val="685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92">
    <w:name w:val="Heading 7"/>
    <w:basedOn w:val="685"/>
    <w:next w:val="685"/>
    <w:link w:val="704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93">
    <w:name w:val="Heading 8"/>
    <w:basedOn w:val="685"/>
    <w:next w:val="685"/>
    <w:link w:val="705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94">
    <w:name w:val="Heading 9"/>
    <w:basedOn w:val="685"/>
    <w:next w:val="685"/>
    <w:link w:val="706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95" w:default="1">
    <w:name w:val="Default Paragraph Font"/>
    <w:uiPriority w:val="1"/>
    <w:semiHidden/>
    <w:unhideWhenUsed/>
  </w:style>
  <w:style w:type="table" w:styleId="6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7" w:default="1">
    <w:name w:val="No List"/>
    <w:uiPriority w:val="99"/>
    <w:semiHidden/>
    <w:unhideWhenUsed/>
  </w:style>
  <w:style w:type="character" w:styleId="698" w:customStyle="1">
    <w:name w:val="Заголовок 1 Знак"/>
    <w:basedOn w:val="695"/>
    <w:link w:val="686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99" w:customStyle="1">
    <w:name w:val="Заголовок 2 Знак"/>
    <w:basedOn w:val="695"/>
    <w:link w:val="687"/>
    <w:uiPriority w:val="9"/>
    <w:rPr>
      <w:rFonts w:ascii="Liberation Sans" w:hAnsi="Liberation Sans" w:eastAsia="Liberation Sans" w:cs="Liberation Sans"/>
      <w:sz w:val="34"/>
    </w:rPr>
  </w:style>
  <w:style w:type="character" w:styleId="700" w:customStyle="1">
    <w:name w:val="Заголовок 3 Знак"/>
    <w:basedOn w:val="695"/>
    <w:link w:val="688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01" w:customStyle="1">
    <w:name w:val="Заголовок 4 Знак"/>
    <w:basedOn w:val="695"/>
    <w:link w:val="68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02" w:customStyle="1">
    <w:name w:val="Заголовок 5 Знак"/>
    <w:basedOn w:val="695"/>
    <w:link w:val="690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03" w:customStyle="1">
    <w:name w:val="Заголовок 6 Знак"/>
    <w:basedOn w:val="695"/>
    <w:link w:val="691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04" w:customStyle="1">
    <w:name w:val="Заголовок 7 Знак"/>
    <w:basedOn w:val="695"/>
    <w:link w:val="692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05" w:customStyle="1">
    <w:name w:val="Заголовок 8 Знак"/>
    <w:basedOn w:val="695"/>
    <w:link w:val="69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06" w:customStyle="1">
    <w:name w:val="Заголовок 9 Знак"/>
    <w:basedOn w:val="695"/>
    <w:link w:val="69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07">
    <w:name w:val="No Spacing"/>
    <w:uiPriority w:val="1"/>
    <w:qFormat/>
    <w:pPr>
      <w:spacing w:after="0" w:line="240" w:lineRule="auto"/>
    </w:pPr>
  </w:style>
  <w:style w:type="paragraph" w:styleId="708">
    <w:name w:val="Title"/>
    <w:basedOn w:val="685"/>
    <w:next w:val="685"/>
    <w:link w:val="70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9" w:customStyle="1">
    <w:name w:val="Заголовок Знак"/>
    <w:basedOn w:val="695"/>
    <w:link w:val="708"/>
    <w:uiPriority w:val="10"/>
    <w:rPr>
      <w:sz w:val="48"/>
      <w:szCs w:val="48"/>
    </w:rPr>
  </w:style>
  <w:style w:type="paragraph" w:styleId="710">
    <w:name w:val="Subtitle"/>
    <w:basedOn w:val="685"/>
    <w:next w:val="685"/>
    <w:link w:val="711"/>
    <w:uiPriority w:val="11"/>
    <w:qFormat/>
    <w:pPr>
      <w:spacing w:before="200" w:after="200"/>
    </w:pPr>
  </w:style>
  <w:style w:type="character" w:styleId="711" w:customStyle="1">
    <w:name w:val="Подзаголовок Знак"/>
    <w:basedOn w:val="695"/>
    <w:link w:val="710"/>
    <w:uiPriority w:val="11"/>
    <w:rPr>
      <w:sz w:val="24"/>
      <w:szCs w:val="24"/>
    </w:rPr>
  </w:style>
  <w:style w:type="paragraph" w:styleId="712">
    <w:name w:val="Quote"/>
    <w:basedOn w:val="685"/>
    <w:next w:val="685"/>
    <w:link w:val="713"/>
    <w:uiPriority w:val="29"/>
    <w:qFormat/>
    <w:pPr>
      <w:ind w:left="720" w:right="720"/>
    </w:pPr>
    <w:rPr>
      <w:i/>
    </w:rPr>
  </w:style>
  <w:style w:type="character" w:styleId="713" w:customStyle="1">
    <w:name w:val="Цитата 2 Знак"/>
    <w:link w:val="712"/>
    <w:uiPriority w:val="29"/>
    <w:rPr>
      <w:i/>
    </w:rPr>
  </w:style>
  <w:style w:type="paragraph" w:styleId="714">
    <w:name w:val="Intense Quote"/>
    <w:basedOn w:val="685"/>
    <w:next w:val="685"/>
    <w:link w:val="71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5" w:customStyle="1">
    <w:name w:val="Выделенная цитата Знак"/>
    <w:link w:val="714"/>
    <w:uiPriority w:val="30"/>
    <w:rPr>
      <w:i/>
    </w:rPr>
  </w:style>
  <w:style w:type="paragraph" w:styleId="716">
    <w:name w:val="Header"/>
    <w:basedOn w:val="685"/>
    <w:link w:val="71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7" w:customStyle="1">
    <w:name w:val="Верхний колонтитул Знак"/>
    <w:basedOn w:val="695"/>
    <w:link w:val="716"/>
    <w:uiPriority w:val="99"/>
  </w:style>
  <w:style w:type="paragraph" w:styleId="718">
    <w:name w:val="Footer"/>
    <w:basedOn w:val="685"/>
    <w:link w:val="719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9" w:customStyle="1">
    <w:name w:val="Нижний колонтитул Знак"/>
    <w:basedOn w:val="695"/>
    <w:link w:val="718"/>
    <w:uiPriority w:val="99"/>
  </w:style>
  <w:style w:type="paragraph" w:styleId="720">
    <w:name w:val="Caption"/>
    <w:basedOn w:val="685"/>
    <w:next w:val="685"/>
    <w:link w:val="721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21" w:customStyle="1">
    <w:name w:val="Название объекта Знак"/>
    <w:basedOn w:val="695"/>
    <w:link w:val="720"/>
    <w:uiPriority w:val="35"/>
    <w:rPr>
      <w:b/>
      <w:bCs/>
      <w:color w:val="5b9bd5" w:themeColor="accent1"/>
      <w:sz w:val="18"/>
      <w:szCs w:val="18"/>
    </w:rPr>
  </w:style>
  <w:style w:type="table" w:styleId="722" w:customStyle="1">
    <w:name w:val="Table Grid Light"/>
    <w:basedOn w:val="69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3">
    <w:name w:val="Plain Table 1"/>
    <w:basedOn w:val="69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24">
    <w:name w:val="Plain Table 2"/>
    <w:basedOn w:val="69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25">
    <w:name w:val="Plain Table 3"/>
    <w:basedOn w:val="6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>
    <w:name w:val="Plain Table 4"/>
    <w:basedOn w:val="6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Plain Table 5"/>
    <w:basedOn w:val="6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>
    <w:name w:val="Grid Table 1 Light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4"/>
    <w:basedOn w:val="6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0" w:customStyle="1">
    <w:name w:val="Grid Table 4 - Accent 1"/>
    <w:basedOn w:val="6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1" w:customStyle="1">
    <w:name w:val="Grid Table 4 - Accent 2"/>
    <w:basedOn w:val="6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2" w:customStyle="1">
    <w:name w:val="Grid Table 4 - Accent 3"/>
    <w:basedOn w:val="6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3" w:customStyle="1">
    <w:name w:val="Grid Table 4 - Accent 4"/>
    <w:basedOn w:val="6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54" w:customStyle="1">
    <w:name w:val="Grid Table 4 - Accent 5"/>
    <w:basedOn w:val="6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5" w:customStyle="1">
    <w:name w:val="Grid Table 4 - Accent 6"/>
    <w:basedOn w:val="6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6">
    <w:name w:val="Grid Table 5 Dark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3">
    <w:name w:val="Grid Table 6 Colorful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4" w:customStyle="1">
    <w:name w:val="Grid Table 6 Colorful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Liberation Sans" w:hAnsi="Liberation Sans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5" w:customStyle="1">
    <w:name w:val="Grid Table 6 Colorful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6" w:customStyle="1">
    <w:name w:val="Grid Table 6 Colorful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Liberation Sans" w:hAnsi="Liberation Sans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7" w:customStyle="1">
    <w:name w:val="Grid Table 6 Colorful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8" w:customStyle="1">
    <w:name w:val="Grid Table 6 Colorful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Liberation Sans" w:hAnsi="Liberation Sans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9" w:customStyle="1">
    <w:name w:val="Grid Table 6 Colorful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Liberation Sans" w:hAnsi="Liberation Sans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0">
    <w:name w:val="Grid Table 7 Colorful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Liberation Sans" w:hAnsi="Liberation Sans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Liberation Sans" w:hAnsi="Liberation Sans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Liberation Sans" w:hAnsi="Liberation Sans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  <w:tblStylePr w:type="firstCol">
      <w:rPr>
        <w:rFonts w:ascii="Liberation Sans" w:hAnsi="Liberation Sans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Liberation Sans" w:hAnsi="Liberation Sans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  <w:tblStylePr w:type="firstCol">
      <w:rPr>
        <w:rFonts w:ascii="Liberation Sans" w:hAnsi="Liberation Sans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"/>
    <w:basedOn w:val="6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1"/>
    <w:basedOn w:val="6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2"/>
    <w:basedOn w:val="6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3"/>
    <w:basedOn w:val="6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4"/>
    <w:basedOn w:val="6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5"/>
    <w:basedOn w:val="6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6"/>
    <w:basedOn w:val="6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1">
    <w:name w:val="List Table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5 Dark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06" w:customStyle="1">
    <w:name w:val="List Table 5 Dark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07" w:customStyle="1">
    <w:name w:val="List Table 5 Dark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08" w:customStyle="1">
    <w:name w:val="List Table 5 Dark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09" w:customStyle="1">
    <w:name w:val="List Table 5 Dark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10" w:customStyle="1">
    <w:name w:val="List Table 5 Dark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11" w:customStyle="1">
    <w:name w:val="List Table 5 Dark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12">
    <w:name w:val="List Table 6 Colorful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Liberation Sans" w:hAnsi="Liberation Sans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3" w:customStyle="1">
    <w:name w:val="List Table 6 Colorful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Liberation Sans" w:hAnsi="Liberation Sans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14" w:customStyle="1">
    <w:name w:val="List Table 6 Colorful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5" w:customStyle="1">
    <w:name w:val="List Table 6 Colorful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Liberation Sans" w:hAnsi="Liberation Sans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6" w:customStyle="1">
    <w:name w:val="List Table 6 Colorful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7" w:customStyle="1">
    <w:name w:val="List Table 6 Colorful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Liberation Sans" w:hAnsi="Liberation Sans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8" w:customStyle="1">
    <w:name w:val="List Table 6 Colorful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Liberation Sans" w:hAnsi="Liberation Sans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9">
    <w:name w:val="List Table 7 Colorful"/>
    <w:basedOn w:val="6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Liberation Sans" w:hAnsi="Liberation Sans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  <w:tblStylePr w:type="firstCol">
      <w:rPr>
        <w:rFonts w:ascii="Liberation Sans" w:hAnsi="Liberation Sans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Liberation Sans" w:hAnsi="Liberation Sans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Liberation Sans" w:hAnsi="Liberation Sans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Liberation Sans" w:hAnsi="Liberation Sans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Liberation Sans" w:hAnsi="Liberation Sans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ned - Accent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7" w:customStyle="1">
    <w:name w:val="Lined - Accent 1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8" w:customStyle="1">
    <w:name w:val="Lined - Accent 2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9" w:customStyle="1">
    <w:name w:val="Lined - Accent 3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0" w:customStyle="1">
    <w:name w:val="Lined - Accent 4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1" w:customStyle="1">
    <w:name w:val="Lined - Accent 5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2" w:customStyle="1">
    <w:name w:val="Lined - Accent 6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3" w:customStyle="1">
    <w:name w:val="Bordered &amp; Lined - Accent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4" w:customStyle="1">
    <w:name w:val="Bordered &amp; Lined - Accent 1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5" w:customStyle="1">
    <w:name w:val="Bordered &amp; Lined - Accent 2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6" w:customStyle="1">
    <w:name w:val="Bordered &amp; Lined - Accent 3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7" w:customStyle="1">
    <w:name w:val="Bordered &amp; Lined - Accent 4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8" w:customStyle="1">
    <w:name w:val="Bordered &amp; Lined - Accent 5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9" w:customStyle="1">
    <w:name w:val="Bordered &amp; Lined - Accent 6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0" w:customStyle="1">
    <w:name w:val="Bordered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1" w:customStyle="1">
    <w:name w:val="Bordered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2" w:customStyle="1">
    <w:name w:val="Bordered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3" w:customStyle="1">
    <w:name w:val="Bordered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44" w:customStyle="1">
    <w:name w:val="Bordered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5" w:customStyle="1">
    <w:name w:val="Bordered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6" w:customStyle="1">
    <w:name w:val="Bordered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47">
    <w:name w:val="Hyperlink"/>
    <w:uiPriority w:val="99"/>
    <w:unhideWhenUsed/>
    <w:rPr>
      <w:color w:val="0563c1" w:themeColor="hyperlink"/>
      <w:u w:val="single"/>
    </w:rPr>
  </w:style>
  <w:style w:type="paragraph" w:styleId="848">
    <w:name w:val="footnote text"/>
    <w:basedOn w:val="685"/>
    <w:link w:val="849"/>
    <w:uiPriority w:val="99"/>
    <w:semiHidden/>
    <w:unhideWhenUsed/>
    <w:pPr>
      <w:spacing w:after="40"/>
    </w:pPr>
    <w:rPr>
      <w:sz w:val="18"/>
    </w:rPr>
  </w:style>
  <w:style w:type="character" w:styleId="849" w:customStyle="1">
    <w:name w:val="Текст сноски Знак"/>
    <w:link w:val="848"/>
    <w:uiPriority w:val="99"/>
    <w:rPr>
      <w:sz w:val="18"/>
    </w:rPr>
  </w:style>
  <w:style w:type="character" w:styleId="850">
    <w:name w:val="footnote reference"/>
    <w:basedOn w:val="695"/>
    <w:uiPriority w:val="99"/>
    <w:unhideWhenUsed/>
    <w:rPr>
      <w:vertAlign w:val="superscript"/>
    </w:rPr>
  </w:style>
  <w:style w:type="paragraph" w:styleId="851">
    <w:name w:val="endnote text"/>
    <w:basedOn w:val="685"/>
    <w:link w:val="852"/>
    <w:uiPriority w:val="99"/>
    <w:semiHidden/>
    <w:unhideWhenUsed/>
    <w:rPr>
      <w:sz w:val="20"/>
    </w:rPr>
  </w:style>
  <w:style w:type="character" w:styleId="852" w:customStyle="1">
    <w:name w:val="Текст концевой сноски Знак"/>
    <w:link w:val="851"/>
    <w:uiPriority w:val="99"/>
    <w:rPr>
      <w:sz w:val="20"/>
    </w:rPr>
  </w:style>
  <w:style w:type="character" w:styleId="853">
    <w:name w:val="endnote reference"/>
    <w:basedOn w:val="695"/>
    <w:uiPriority w:val="99"/>
    <w:semiHidden/>
    <w:unhideWhenUsed/>
    <w:rPr>
      <w:vertAlign w:val="superscript"/>
    </w:rPr>
  </w:style>
  <w:style w:type="paragraph" w:styleId="854">
    <w:name w:val="toc 1"/>
    <w:basedOn w:val="685"/>
    <w:next w:val="685"/>
    <w:uiPriority w:val="39"/>
    <w:unhideWhenUsed/>
    <w:pPr>
      <w:spacing w:after="57"/>
    </w:pPr>
  </w:style>
  <w:style w:type="paragraph" w:styleId="855">
    <w:name w:val="toc 2"/>
    <w:basedOn w:val="685"/>
    <w:next w:val="685"/>
    <w:uiPriority w:val="39"/>
    <w:unhideWhenUsed/>
    <w:pPr>
      <w:ind w:left="283"/>
      <w:spacing w:after="57"/>
    </w:pPr>
  </w:style>
  <w:style w:type="paragraph" w:styleId="856">
    <w:name w:val="toc 3"/>
    <w:basedOn w:val="685"/>
    <w:next w:val="685"/>
    <w:uiPriority w:val="39"/>
    <w:unhideWhenUsed/>
    <w:pPr>
      <w:ind w:left="567"/>
      <w:spacing w:after="57"/>
    </w:pPr>
  </w:style>
  <w:style w:type="paragraph" w:styleId="857">
    <w:name w:val="toc 4"/>
    <w:basedOn w:val="685"/>
    <w:next w:val="685"/>
    <w:uiPriority w:val="39"/>
    <w:unhideWhenUsed/>
    <w:pPr>
      <w:ind w:left="850"/>
      <w:spacing w:after="57"/>
    </w:pPr>
  </w:style>
  <w:style w:type="paragraph" w:styleId="858">
    <w:name w:val="toc 5"/>
    <w:basedOn w:val="685"/>
    <w:next w:val="685"/>
    <w:uiPriority w:val="39"/>
    <w:unhideWhenUsed/>
    <w:pPr>
      <w:ind w:left="1134"/>
      <w:spacing w:after="57"/>
    </w:pPr>
  </w:style>
  <w:style w:type="paragraph" w:styleId="859">
    <w:name w:val="toc 6"/>
    <w:basedOn w:val="685"/>
    <w:next w:val="685"/>
    <w:uiPriority w:val="39"/>
    <w:unhideWhenUsed/>
    <w:pPr>
      <w:ind w:left="1417"/>
      <w:spacing w:after="57"/>
    </w:pPr>
  </w:style>
  <w:style w:type="paragraph" w:styleId="860">
    <w:name w:val="toc 7"/>
    <w:basedOn w:val="685"/>
    <w:next w:val="685"/>
    <w:uiPriority w:val="39"/>
    <w:unhideWhenUsed/>
    <w:pPr>
      <w:ind w:left="1701"/>
      <w:spacing w:after="57"/>
    </w:pPr>
  </w:style>
  <w:style w:type="paragraph" w:styleId="861">
    <w:name w:val="toc 8"/>
    <w:basedOn w:val="685"/>
    <w:next w:val="685"/>
    <w:uiPriority w:val="39"/>
    <w:unhideWhenUsed/>
    <w:pPr>
      <w:ind w:left="1984"/>
      <w:spacing w:after="57"/>
    </w:pPr>
  </w:style>
  <w:style w:type="paragraph" w:styleId="862">
    <w:name w:val="toc 9"/>
    <w:basedOn w:val="685"/>
    <w:next w:val="685"/>
    <w:uiPriority w:val="39"/>
    <w:unhideWhenUsed/>
    <w:pPr>
      <w:ind w:left="2268"/>
      <w:spacing w:after="57"/>
    </w:pPr>
  </w:style>
  <w:style w:type="paragraph" w:styleId="863">
    <w:name w:val="TOC Heading"/>
    <w:uiPriority w:val="39"/>
    <w:unhideWhenUsed/>
  </w:style>
  <w:style w:type="paragraph" w:styleId="864">
    <w:name w:val="table of figures"/>
    <w:basedOn w:val="685"/>
    <w:next w:val="685"/>
    <w:uiPriority w:val="99"/>
    <w:unhideWhenUsed/>
  </w:style>
  <w:style w:type="paragraph" w:styleId="865">
    <w:name w:val="Balloon Text"/>
    <w:basedOn w:val="685"/>
    <w:link w:val="86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66" w:customStyle="1">
    <w:name w:val="Текст выноски Знак"/>
    <w:basedOn w:val="695"/>
    <w:link w:val="865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table" w:styleId="867">
    <w:name w:val="Table Grid"/>
    <w:basedOn w:val="6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68">
    <w:name w:val="Emphasis"/>
    <w:basedOn w:val="695"/>
    <w:uiPriority w:val="20"/>
    <w:qFormat/>
    <w:rPr>
      <w:i/>
      <w:iCs/>
    </w:rPr>
  </w:style>
  <w:style w:type="paragraph" w:styleId="869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870" w:customStyle="1">
    <w:name w:val="Основной текст_"/>
    <w:basedOn w:val="695"/>
    <w:link w:val="871"/>
    <w:rPr>
      <w:sz w:val="23"/>
      <w:szCs w:val="23"/>
      <w:shd w:val="clear" w:color="auto" w:fill="ffffff"/>
    </w:rPr>
  </w:style>
  <w:style w:type="paragraph" w:styleId="871" w:customStyle="1">
    <w:name w:val="Основной текст3"/>
    <w:basedOn w:val="685"/>
    <w:link w:val="870"/>
    <w:pPr>
      <w:ind w:hanging="360"/>
      <w:jc w:val="center"/>
      <w:spacing w:line="278" w:lineRule="exact"/>
      <w:shd w:val="clear" w:color="auto" w:fill="ffffff"/>
      <w:widowControl w:val="off"/>
    </w:pPr>
    <w:rPr>
      <w:rFonts w:asciiTheme="minorHAnsi" w:hAnsiTheme="minorHAnsi" w:eastAsiaTheme="minorHAnsi" w:cstheme="minorBidi"/>
      <w:sz w:val="23"/>
      <w:szCs w:val="23"/>
      <w:lang w:eastAsia="en-US"/>
    </w:rPr>
  </w:style>
  <w:style w:type="paragraph" w:styleId="872">
    <w:name w:val="List Paragraph"/>
    <w:basedOn w:val="685"/>
    <w:uiPriority w:val="34"/>
    <w:qFormat/>
    <w:pPr>
      <w:contextualSpacing/>
      <w:ind w:left="720"/>
    </w:pPr>
  </w:style>
  <w:style w:type="character" w:styleId="873" w:customStyle="1">
    <w:name w:val="Основной текст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styleId="874" w:customStyle="1">
    <w:name w:val="Основной текст2"/>
    <w:pPr>
      <w:jc w:val="center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0CF28-BD8B-4CF7-BFBF-E10D89775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Биккинин Денис Тимерьянович</dc:creator>
  <cp:keywords/>
  <dc:description/>
  <cp:lastModifiedBy>shevchenko_rr</cp:lastModifiedBy>
  <cp:revision>9</cp:revision>
  <dcterms:created xsi:type="dcterms:W3CDTF">2025-06-16T05:06:00Z</dcterms:created>
  <dcterms:modified xsi:type="dcterms:W3CDTF">2026-03-27T11:50:10Z</dcterms:modified>
</cp:coreProperties>
</file>